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微软雅黑" w:eastAsia="仿宋_GB2312" w:cs="Arial"/>
          <w:b/>
          <w:bCs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附件</w:t>
      </w: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  <w:lang w:val="en-US" w:eastAsia="zh-CN"/>
        </w:rPr>
        <w:t>1</w:t>
      </w:r>
      <w:r>
        <w:rPr>
          <w:rFonts w:hint="eastAsia" w:ascii="仿宋_GB2312" w:hAnsi="微软雅黑" w:eastAsia="仿宋_GB2312" w:cs="Arial"/>
          <w:b/>
          <w:bCs/>
          <w:color w:val="333333"/>
          <w:kern w:val="0"/>
          <w:sz w:val="27"/>
          <w:szCs w:val="27"/>
        </w:rPr>
        <w:t>：</w:t>
      </w:r>
    </w:p>
    <w:p>
      <w:pPr>
        <w:widowControl/>
        <w:shd w:val="clear" w:color="auto" w:fill="FFFFFF"/>
        <w:wordWrap w:val="0"/>
        <w:spacing w:line="56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福州大学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eastAsia="zh-CN"/>
        </w:rPr>
        <w:t>基层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eastAsia="zh-CN"/>
        </w:rPr>
        <w:t>党务干部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业务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培训班学员名单</w:t>
      </w:r>
    </w:p>
    <w:p>
      <w:pPr>
        <w:widowControl/>
        <w:shd w:val="clear" w:color="auto" w:fill="FFFFFF"/>
        <w:wordWrap w:val="0"/>
        <w:spacing w:beforeLines="50" w:afterLines="50" w:line="560" w:lineRule="exact"/>
        <w:ind w:right="56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（XX 党委）</w:t>
      </w:r>
    </w:p>
    <w:tbl>
      <w:tblPr>
        <w:tblStyle w:val="2"/>
        <w:tblW w:w="710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19"/>
        <w:gridCol w:w="1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宋体" w:hAnsi="宋体" w:eastAsia="宋体" w:cs="宋体"/>
                <w:color w:val="42515A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Calibri" w:hAnsi="Calibri" w:eastAsia="宋体" w:cs="Calibri"/>
                <w:color w:val="42515A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/>
        <w:jc w:val="left"/>
        <w:rPr>
          <w:rFonts w:ascii="微软雅黑" w:hAnsi="微软雅黑" w:eastAsia="宋体" w:cs="Arial"/>
          <w:color w:val="333333"/>
          <w:kern w:val="0"/>
          <w:szCs w:val="21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负责人：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53D42"/>
    <w:rsid w:val="590F5341"/>
    <w:rsid w:val="6EB53D42"/>
    <w:rsid w:val="6F7E2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2018-04-20T07:41:00Z</dcterms:created>
  <dc:creator>阳光雨歌</dc:creator>
  <cp:lastModifiedBy>阳光雨歌</cp:lastModifiedBy>
  <dcterms:modified xsi:type="dcterms:W3CDTF">2019-04-26T02:22:24Z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